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66" w:rsidRPr="007E0807" w:rsidRDefault="00225766" w:rsidP="00225766">
      <w:pPr>
        <w:jc w:val="center"/>
        <w:rPr>
          <w:rFonts w:cs="Arial"/>
          <w:b/>
          <w:color w:val="333333"/>
          <w:sz w:val="28"/>
          <w:szCs w:val="28"/>
        </w:rPr>
      </w:pPr>
      <w:r w:rsidRPr="007E0807">
        <w:rPr>
          <w:rFonts w:cs="Arial"/>
          <w:b/>
          <w:color w:val="333333"/>
          <w:sz w:val="28"/>
          <w:szCs w:val="28"/>
        </w:rPr>
        <w:t>OCENĚNÍ AURA PRO EXPOZICI LAUFEN CZ NA SHK BRNO 2008</w:t>
      </w:r>
    </w:p>
    <w:p w:rsidR="00225766" w:rsidRPr="007E0807" w:rsidRDefault="00225766" w:rsidP="00225766">
      <w:pPr>
        <w:jc w:val="both"/>
        <w:rPr>
          <w:rFonts w:cs="Arial"/>
          <w:sz w:val="24"/>
          <w:szCs w:val="24"/>
        </w:rPr>
      </w:pPr>
    </w:p>
    <w:p w:rsidR="00225766" w:rsidRPr="007E0807" w:rsidRDefault="00225766" w:rsidP="00225766">
      <w:pPr>
        <w:spacing w:line="360" w:lineRule="auto"/>
        <w:jc w:val="both"/>
        <w:rPr>
          <w:b/>
          <w:color w:val="808080"/>
          <w:sz w:val="24"/>
          <w:szCs w:val="24"/>
        </w:rPr>
      </w:pPr>
      <w:r w:rsidRPr="007E0807">
        <w:rPr>
          <w:b/>
          <w:color w:val="808080"/>
          <w:sz w:val="24"/>
          <w:szCs w:val="24"/>
        </w:rPr>
        <w:t xml:space="preserve">Společnost </w:t>
      </w:r>
      <w:proofErr w:type="spellStart"/>
      <w:r w:rsidRPr="007E0807">
        <w:rPr>
          <w:b/>
          <w:color w:val="808080"/>
          <w:sz w:val="24"/>
          <w:szCs w:val="24"/>
        </w:rPr>
        <w:t>Laufen</w:t>
      </w:r>
      <w:proofErr w:type="spellEnd"/>
      <w:r w:rsidRPr="007E0807">
        <w:rPr>
          <w:b/>
          <w:color w:val="808080"/>
          <w:sz w:val="24"/>
          <w:szCs w:val="24"/>
        </w:rPr>
        <w:t xml:space="preserve"> CZ získala prestižní ocenění AURA za nejpoutavější expozici v kategorii nad tři sta metrů čtverečních v rámci Stavebních veletrhů Brno 2008, které proběhly od 23. do 26. dubna v areálu BVV. Cenu AURA uděluje již třetím rokem Společenstvo organizátorů veletržních a výstavních akcí ČR (SOVA ČR) ve čtyřech kategoriích, podle velikosti expozic. </w:t>
      </w:r>
    </w:p>
    <w:p w:rsidR="00225766" w:rsidRPr="007E0807" w:rsidRDefault="00225766" w:rsidP="00225766">
      <w:pPr>
        <w:spacing w:line="360" w:lineRule="auto"/>
        <w:jc w:val="both"/>
        <w:rPr>
          <w:color w:val="808080"/>
          <w:sz w:val="24"/>
          <w:szCs w:val="24"/>
        </w:rPr>
      </w:pPr>
      <w:r w:rsidRPr="007E0807">
        <w:rPr>
          <w:color w:val="808080"/>
          <w:sz w:val="24"/>
          <w:szCs w:val="24"/>
        </w:rPr>
        <w:t xml:space="preserve"> </w:t>
      </w:r>
    </w:p>
    <w:p w:rsidR="00225766" w:rsidRPr="007E0807" w:rsidRDefault="00225766" w:rsidP="00225766">
      <w:pPr>
        <w:spacing w:before="60" w:after="60" w:line="360" w:lineRule="auto"/>
        <w:jc w:val="both"/>
        <w:rPr>
          <w:sz w:val="24"/>
          <w:szCs w:val="24"/>
        </w:rPr>
      </w:pPr>
      <w:r w:rsidRPr="007E0807">
        <w:rPr>
          <w:sz w:val="24"/>
          <w:szCs w:val="24"/>
        </w:rPr>
        <w:t xml:space="preserve">Za svůj návrh pro společnost </w:t>
      </w:r>
      <w:proofErr w:type="spellStart"/>
      <w:r w:rsidRPr="007E0807">
        <w:rPr>
          <w:sz w:val="24"/>
          <w:szCs w:val="24"/>
        </w:rPr>
        <w:t>Laufen</w:t>
      </w:r>
      <w:proofErr w:type="spellEnd"/>
      <w:r w:rsidRPr="007E0807">
        <w:rPr>
          <w:sz w:val="24"/>
          <w:szCs w:val="24"/>
        </w:rPr>
        <w:t xml:space="preserve"> CZ převzal v Brně vítěznou cenu z rukou Ing. Jany Ostré, manažerky Brněnských veletrhů, autor vítězné expozice Ing. Arch. Michal Janků. Stánek pokrývající plochu větší než tři sta metrů čtverečních je skutečně velkolepý a jeho prohlídku si nenechal ujít žádný z návštěvníků pavilonu Z. </w:t>
      </w:r>
    </w:p>
    <w:p w:rsidR="00225766" w:rsidRPr="007E0807" w:rsidRDefault="00225766" w:rsidP="00225766">
      <w:pPr>
        <w:spacing w:before="60" w:after="60" w:line="360" w:lineRule="auto"/>
        <w:jc w:val="both"/>
        <w:rPr>
          <w:i/>
          <w:sz w:val="24"/>
          <w:szCs w:val="24"/>
        </w:rPr>
      </w:pPr>
      <w:r w:rsidRPr="007E0807">
        <w:rPr>
          <w:sz w:val="24"/>
          <w:szCs w:val="24"/>
        </w:rPr>
        <w:t xml:space="preserve">Michal Janků pracuje pro světovou jedničku na trhu sanitární keramiky již sedm let a za své designérské a architektonické realizace sklidil řadu uznání i ocenění, mimo jiné stříbrné ocenění AURA za rok 2007. Na letošním veletrhu SHK představil mimo jiné také novinky autorské kolekce </w:t>
      </w:r>
      <w:proofErr w:type="spellStart"/>
      <w:r w:rsidRPr="007E0807">
        <w:rPr>
          <w:sz w:val="24"/>
          <w:szCs w:val="24"/>
        </w:rPr>
        <w:t>Cubito</w:t>
      </w:r>
      <w:proofErr w:type="spellEnd"/>
      <w:r w:rsidRPr="007E0807">
        <w:rPr>
          <w:sz w:val="24"/>
          <w:szCs w:val="24"/>
        </w:rPr>
        <w:t xml:space="preserve"> značky JIKA. Na slavnostním předávání cen, na kterém byla přítomna elita české architektury, zhodnotil autor svůj úspěch pozitivně: </w:t>
      </w:r>
      <w:r w:rsidRPr="007E0807">
        <w:rPr>
          <w:i/>
          <w:sz w:val="24"/>
          <w:szCs w:val="24"/>
        </w:rPr>
        <w:t xml:space="preserve">„Jsem velice příjemně překvapený, neboť jsem vlastně ani netušil, že probíhá hodnocení jednotlivých veletržních expozic. Věřím, že stejně potěšena je i společnost </w:t>
      </w:r>
      <w:proofErr w:type="spellStart"/>
      <w:r w:rsidRPr="007E0807">
        <w:rPr>
          <w:i/>
          <w:sz w:val="24"/>
          <w:szCs w:val="24"/>
        </w:rPr>
        <w:t>Laufen</w:t>
      </w:r>
      <w:proofErr w:type="spellEnd"/>
      <w:r w:rsidRPr="007E0807">
        <w:rPr>
          <w:i/>
          <w:sz w:val="24"/>
          <w:szCs w:val="24"/>
        </w:rPr>
        <w:t xml:space="preserve"> CZ.“</w:t>
      </w:r>
    </w:p>
    <w:p w:rsidR="00225766" w:rsidRPr="007E0807" w:rsidRDefault="00225766" w:rsidP="00225766">
      <w:pPr>
        <w:spacing w:before="60" w:after="60" w:line="360" w:lineRule="auto"/>
        <w:jc w:val="both"/>
        <w:rPr>
          <w:sz w:val="24"/>
          <w:szCs w:val="24"/>
        </w:rPr>
      </w:pPr>
    </w:p>
    <w:p w:rsidR="00225766" w:rsidRPr="007E0807" w:rsidRDefault="00225766" w:rsidP="00225766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181225" cy="1257300"/>
            <wp:effectExtent l="19050" t="0" r="9525" b="0"/>
            <wp:docPr id="1" name="obrázek 1" descr="IMG_267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673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l="8632" r="1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28775" cy="1247775"/>
            <wp:effectExtent l="19050" t="0" r="9525" b="0"/>
            <wp:docPr id="2" name="obrázek 2" descr="David Forman_Michal Janku_Aura_2008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 Forman_Michal Janku_Aura_2008_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00225" cy="1238250"/>
            <wp:effectExtent l="19050" t="0" r="9525" b="0"/>
            <wp:docPr id="3" name="obrázek 3" descr="Jika_expozice 2008 s návštěvníky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ka_expozice 2008 s návštěvníky_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 l="6064" t="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66" w:rsidRPr="007E0807" w:rsidRDefault="00225766" w:rsidP="00225766">
      <w:pPr>
        <w:spacing w:line="360" w:lineRule="auto"/>
        <w:jc w:val="both"/>
        <w:rPr>
          <w:b/>
          <w:sz w:val="24"/>
          <w:szCs w:val="24"/>
        </w:rPr>
      </w:pPr>
      <w:r w:rsidRPr="007E0807">
        <w:rPr>
          <w:b/>
          <w:sz w:val="24"/>
          <w:szCs w:val="24"/>
        </w:rPr>
        <w:t>www.laufen.cz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8D2E55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lastRenderedPageBreak/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8D2E55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F5" w:rsidRDefault="008053F5" w:rsidP="00D329FE">
      <w:pPr>
        <w:spacing w:after="0" w:line="240" w:lineRule="auto"/>
      </w:pPr>
      <w:r>
        <w:separator/>
      </w:r>
    </w:p>
  </w:endnote>
  <w:endnote w:type="continuationSeparator" w:id="0">
    <w:p w:rsidR="008053F5" w:rsidRDefault="008053F5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F5" w:rsidRDefault="008053F5" w:rsidP="00D329FE">
      <w:pPr>
        <w:spacing w:after="0" w:line="240" w:lineRule="auto"/>
      </w:pPr>
      <w:r>
        <w:separator/>
      </w:r>
    </w:p>
  </w:footnote>
  <w:footnote w:type="continuationSeparator" w:id="0">
    <w:p w:rsidR="008053F5" w:rsidRDefault="008053F5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25766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053F5"/>
    <w:rsid w:val="0082341E"/>
    <w:rsid w:val="008A0913"/>
    <w:rsid w:val="008B0667"/>
    <w:rsid w:val="008D2E55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7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skit.ji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beckova@am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1688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2011-05-22T18:42:00Z</dcterms:created>
  <dcterms:modified xsi:type="dcterms:W3CDTF">2011-05-22T18:42:00Z</dcterms:modified>
</cp:coreProperties>
</file>