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EB" w:rsidRPr="00DA7DEB" w:rsidRDefault="00DA7DEB" w:rsidP="00DA7DEB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DA7DEB">
        <w:rPr>
          <w:b/>
          <w:sz w:val="28"/>
          <w:szCs w:val="28"/>
        </w:rPr>
        <w:t>Urbi</w:t>
      </w:r>
      <w:proofErr w:type="spellEnd"/>
      <w:r w:rsidRPr="00DA7DEB">
        <w:rPr>
          <w:b/>
          <w:sz w:val="28"/>
          <w:szCs w:val="28"/>
        </w:rPr>
        <w:t>: Hravý detail vaší koupelny</w:t>
      </w:r>
    </w:p>
    <w:p w:rsidR="00DA7DEB" w:rsidRPr="00DA7DEB" w:rsidRDefault="00DA7DEB" w:rsidP="00DA7DEB">
      <w:pPr>
        <w:spacing w:line="360" w:lineRule="auto"/>
        <w:jc w:val="both"/>
        <w:rPr>
          <w:sz w:val="24"/>
          <w:szCs w:val="24"/>
        </w:rPr>
      </w:pPr>
    </w:p>
    <w:p w:rsidR="00DA7DEB" w:rsidRPr="00DA7DEB" w:rsidRDefault="00DA7DEB" w:rsidP="00DA7DEB">
      <w:pPr>
        <w:spacing w:line="360" w:lineRule="auto"/>
        <w:jc w:val="both"/>
        <w:rPr>
          <w:sz w:val="24"/>
          <w:szCs w:val="24"/>
        </w:rPr>
      </w:pPr>
      <w:r w:rsidRPr="00DA7DEB">
        <w:rPr>
          <w:sz w:val="24"/>
          <w:szCs w:val="24"/>
        </w:rPr>
        <w:t xml:space="preserve">Kytička do klopy. Přesně tak působí umyvadlová mísa </w:t>
      </w:r>
      <w:proofErr w:type="spellStart"/>
      <w:r w:rsidRPr="00DA7DEB">
        <w:rPr>
          <w:sz w:val="24"/>
          <w:szCs w:val="24"/>
        </w:rPr>
        <w:t>Urbi</w:t>
      </w:r>
      <w:proofErr w:type="spellEnd"/>
      <w:r w:rsidRPr="00DA7DEB">
        <w:rPr>
          <w:sz w:val="24"/>
          <w:szCs w:val="24"/>
        </w:rPr>
        <w:t xml:space="preserve"> značky </w:t>
      </w:r>
      <w:proofErr w:type="spellStart"/>
      <w:r w:rsidRPr="00DA7DEB">
        <w:rPr>
          <w:sz w:val="24"/>
          <w:szCs w:val="24"/>
        </w:rPr>
        <w:t>Roca</w:t>
      </w:r>
      <w:proofErr w:type="spellEnd"/>
      <w:r w:rsidRPr="00DA7DEB">
        <w:rPr>
          <w:sz w:val="24"/>
          <w:szCs w:val="24"/>
        </w:rPr>
        <w:t xml:space="preserve"> v každé koupelně. Hravý detail, který originálním způsobem dotváří celkový dojem. Vlní se na umyvadlové desce v rytmu vašeho vkusu. </w:t>
      </w:r>
    </w:p>
    <w:p w:rsidR="00DA7DEB" w:rsidRPr="00DA7DEB" w:rsidRDefault="00DA7DEB" w:rsidP="00DA7DEB">
      <w:pPr>
        <w:spacing w:line="360" w:lineRule="auto"/>
        <w:jc w:val="both"/>
        <w:rPr>
          <w:sz w:val="24"/>
          <w:szCs w:val="24"/>
        </w:rPr>
      </w:pPr>
      <w:r w:rsidRPr="00DA7DEB">
        <w:rPr>
          <w:sz w:val="24"/>
          <w:szCs w:val="24"/>
        </w:rPr>
        <w:t>Může být docela malá, kulatá, o průměru 450 mm (</w:t>
      </w:r>
      <w:proofErr w:type="spellStart"/>
      <w:r w:rsidRPr="00DA7DEB">
        <w:rPr>
          <w:sz w:val="24"/>
          <w:szCs w:val="24"/>
        </w:rPr>
        <w:t>Urbi</w:t>
      </w:r>
      <w:proofErr w:type="spellEnd"/>
      <w:r w:rsidRPr="00DA7DEB">
        <w:rPr>
          <w:sz w:val="24"/>
          <w:szCs w:val="24"/>
        </w:rPr>
        <w:t xml:space="preserve"> 1), se zvlněným okrajem ve výšce od 98 do 180 mm. Nebo rozšířená o atypickou odkládací plochu (</w:t>
      </w:r>
      <w:proofErr w:type="spellStart"/>
      <w:r w:rsidRPr="00DA7DEB">
        <w:rPr>
          <w:sz w:val="24"/>
          <w:szCs w:val="24"/>
        </w:rPr>
        <w:t>Urbi</w:t>
      </w:r>
      <w:proofErr w:type="spellEnd"/>
      <w:r w:rsidRPr="00DA7DEB">
        <w:rPr>
          <w:sz w:val="24"/>
          <w:szCs w:val="24"/>
        </w:rPr>
        <w:t xml:space="preserve"> 3), v téměř oválném tvaru s useknutým okrajem, o rozměrech 580 x 400 mm. Klasický ovál má </w:t>
      </w:r>
      <w:proofErr w:type="spellStart"/>
      <w:r w:rsidRPr="00DA7DEB">
        <w:rPr>
          <w:sz w:val="24"/>
          <w:szCs w:val="24"/>
        </w:rPr>
        <w:t>Urbi</w:t>
      </w:r>
      <w:proofErr w:type="spellEnd"/>
      <w:r w:rsidRPr="00DA7DEB">
        <w:rPr>
          <w:sz w:val="24"/>
          <w:szCs w:val="24"/>
        </w:rPr>
        <w:t xml:space="preserve"> 6, s průměrem 640 mm, šířkou 430 mm a okraji ve výšce od 92 do 110 mm. </w:t>
      </w:r>
      <w:proofErr w:type="spellStart"/>
      <w:r w:rsidRPr="00DA7DEB">
        <w:rPr>
          <w:sz w:val="24"/>
          <w:szCs w:val="24"/>
        </w:rPr>
        <w:t>Urbi</w:t>
      </w:r>
      <w:proofErr w:type="spellEnd"/>
      <w:r w:rsidRPr="00DA7DEB">
        <w:rPr>
          <w:sz w:val="24"/>
          <w:szCs w:val="24"/>
        </w:rPr>
        <w:t xml:space="preserve"> 7 ústrojně propojuje kulatou mísu s kruhovou odkládací plochou. Celková šířka dosahuje 600 mm, průměr umyvadla je 340 mm. </w:t>
      </w:r>
    </w:p>
    <w:p w:rsidR="00DA7DEB" w:rsidRPr="00DA7DEB" w:rsidRDefault="00DA7DEB" w:rsidP="00DA7DEB">
      <w:pPr>
        <w:spacing w:line="360" w:lineRule="auto"/>
        <w:jc w:val="both"/>
        <w:rPr>
          <w:sz w:val="24"/>
          <w:szCs w:val="24"/>
        </w:rPr>
      </w:pPr>
      <w:r w:rsidRPr="00DA7DEB">
        <w:rPr>
          <w:sz w:val="24"/>
          <w:szCs w:val="24"/>
        </w:rPr>
        <w:t xml:space="preserve">Určitě nejsvéráznějším kouskem v sérii </w:t>
      </w:r>
      <w:proofErr w:type="spellStart"/>
      <w:r w:rsidRPr="00DA7DEB">
        <w:rPr>
          <w:sz w:val="24"/>
          <w:szCs w:val="24"/>
        </w:rPr>
        <w:t>Urbi</w:t>
      </w:r>
      <w:proofErr w:type="spellEnd"/>
      <w:r w:rsidRPr="00DA7DEB">
        <w:rPr>
          <w:sz w:val="24"/>
          <w:szCs w:val="24"/>
        </w:rPr>
        <w:t xml:space="preserve"> je mísa číslo 8. Vypadá trochu jako trojlístek, v nejširším místě má 550 mm, výška je 100 mm. Kromě toho je jako jediná z nabízených produktů této řady bez přepadu. </w:t>
      </w:r>
    </w:p>
    <w:p w:rsidR="00DA7DEB" w:rsidRPr="00DA7DEB" w:rsidRDefault="00DA7DEB" w:rsidP="00DA7DEB">
      <w:pPr>
        <w:spacing w:line="360" w:lineRule="auto"/>
        <w:jc w:val="both"/>
        <w:rPr>
          <w:sz w:val="24"/>
          <w:szCs w:val="24"/>
        </w:rPr>
      </w:pPr>
    </w:p>
    <w:p w:rsidR="00DA7DEB" w:rsidRPr="00DA7DEB" w:rsidRDefault="00DA7DEB" w:rsidP="00DA7DEB">
      <w:pPr>
        <w:spacing w:line="360" w:lineRule="auto"/>
        <w:jc w:val="both"/>
        <w:rPr>
          <w:b/>
          <w:sz w:val="24"/>
          <w:szCs w:val="24"/>
        </w:rPr>
      </w:pPr>
      <w:r w:rsidRPr="00DA7DEB">
        <w:rPr>
          <w:b/>
          <w:sz w:val="24"/>
          <w:szCs w:val="24"/>
        </w:rPr>
        <w:t xml:space="preserve">www.roca.cz </w:t>
      </w:r>
    </w:p>
    <w:p w:rsidR="006B618E" w:rsidRPr="00DA7DEB" w:rsidRDefault="006B618E" w:rsidP="00DA7DEB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B6026E" w:rsidRPr="00DA7DEB" w:rsidRDefault="00B6026E" w:rsidP="00DA7DEB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DA7DEB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DA7DEB" w:rsidRDefault="00B6026E" w:rsidP="00DA7DEB">
      <w:pPr>
        <w:pStyle w:val="Zhlav"/>
        <w:jc w:val="both"/>
        <w:rPr>
          <w:rFonts w:asciiTheme="minorHAnsi" w:hAnsiTheme="minorHAnsi"/>
          <w:sz w:val="24"/>
          <w:szCs w:val="24"/>
        </w:rPr>
      </w:pPr>
      <w:r w:rsidRPr="00DA7DEB">
        <w:rPr>
          <w:rFonts w:asciiTheme="minorHAnsi" w:hAnsiTheme="minorHAnsi"/>
          <w:sz w:val="24"/>
          <w:szCs w:val="24"/>
        </w:rPr>
        <w:t xml:space="preserve">Jana </w:t>
      </w:r>
      <w:proofErr w:type="spellStart"/>
      <w:r w:rsidRPr="00DA7DEB">
        <w:rPr>
          <w:rFonts w:asciiTheme="minorHAnsi" w:hAnsiTheme="minorHAnsi"/>
          <w:sz w:val="24"/>
          <w:szCs w:val="24"/>
        </w:rPr>
        <w:t>Becková</w:t>
      </w:r>
      <w:proofErr w:type="spellEnd"/>
      <w:r w:rsidRPr="00DA7DEB">
        <w:rPr>
          <w:rFonts w:asciiTheme="minorHAnsi" w:hAnsiTheme="minorHAnsi"/>
          <w:sz w:val="24"/>
          <w:szCs w:val="24"/>
        </w:rPr>
        <w:t xml:space="preserve">, AMI </w:t>
      </w:r>
      <w:proofErr w:type="spellStart"/>
      <w:r w:rsidRPr="00DA7DEB">
        <w:rPr>
          <w:rFonts w:asciiTheme="minorHAnsi" w:hAnsiTheme="minorHAnsi"/>
          <w:sz w:val="24"/>
          <w:szCs w:val="24"/>
        </w:rPr>
        <w:t>Communications</w:t>
      </w:r>
      <w:proofErr w:type="spellEnd"/>
      <w:r w:rsidRPr="00DA7DEB">
        <w:rPr>
          <w:rFonts w:asciiTheme="minorHAnsi" w:hAnsiTheme="minorHAnsi"/>
          <w:sz w:val="24"/>
          <w:szCs w:val="24"/>
        </w:rPr>
        <w:t>, Týn 641/4, 110 00 Praha 1</w:t>
      </w:r>
    </w:p>
    <w:p w:rsidR="00B6026E" w:rsidRPr="00DA7DEB" w:rsidRDefault="004E308D" w:rsidP="00DA7DEB">
      <w:pPr>
        <w:pStyle w:val="Zhlav"/>
        <w:jc w:val="both"/>
        <w:rPr>
          <w:rFonts w:asciiTheme="minorHAnsi" w:hAnsiTheme="minorHAnsi"/>
          <w:sz w:val="24"/>
          <w:szCs w:val="24"/>
        </w:rPr>
      </w:pPr>
      <w:hyperlink r:id="rId7" w:history="1">
        <w:r w:rsidR="00B6026E" w:rsidRPr="00DA7DEB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DA7DEB" w:rsidRDefault="00B6026E" w:rsidP="00DA7DEB">
      <w:pPr>
        <w:spacing w:after="0" w:line="240" w:lineRule="auto"/>
        <w:ind w:left="-567" w:firstLine="567"/>
        <w:jc w:val="both"/>
        <w:rPr>
          <w:rFonts w:asciiTheme="minorHAnsi" w:hAnsiTheme="minorHAnsi" w:cs="Arial"/>
          <w:bCs/>
          <w:sz w:val="24"/>
          <w:szCs w:val="24"/>
        </w:rPr>
      </w:pPr>
      <w:r w:rsidRPr="00DA7DEB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DA7DEB" w:rsidRDefault="00B6026E" w:rsidP="00DA7DEB">
      <w:pPr>
        <w:spacing w:after="0" w:line="240" w:lineRule="auto"/>
        <w:ind w:left="-567" w:firstLine="567"/>
        <w:jc w:val="both"/>
        <w:rPr>
          <w:rFonts w:asciiTheme="minorHAnsi" w:hAnsiTheme="minorHAnsi" w:cs="Arial"/>
          <w:bCs/>
          <w:sz w:val="24"/>
          <w:szCs w:val="24"/>
        </w:rPr>
      </w:pPr>
      <w:r w:rsidRPr="00DA7DEB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DA7DEB" w:rsidRDefault="00B6026E" w:rsidP="00DA7DEB">
      <w:pPr>
        <w:spacing w:after="0" w:line="240" w:lineRule="auto"/>
        <w:ind w:left="-567" w:firstLine="567"/>
        <w:jc w:val="both"/>
        <w:rPr>
          <w:rFonts w:asciiTheme="minorHAnsi" w:hAnsiTheme="minorHAnsi" w:cs="Arial"/>
          <w:bCs/>
          <w:sz w:val="24"/>
          <w:szCs w:val="24"/>
        </w:rPr>
      </w:pPr>
    </w:p>
    <w:p w:rsidR="00B6026E" w:rsidRPr="00DA7DEB" w:rsidRDefault="00B6026E" w:rsidP="00DA7DEB">
      <w:pPr>
        <w:shd w:val="clear" w:color="auto" w:fill="FFFFFF"/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A7DEB">
        <w:rPr>
          <w:rFonts w:asciiTheme="minorHAnsi" w:hAnsiTheme="minorHAnsi"/>
          <w:b/>
          <w:sz w:val="24"/>
          <w:szCs w:val="24"/>
        </w:rPr>
        <w:t xml:space="preserve">Online </w:t>
      </w:r>
      <w:proofErr w:type="spellStart"/>
      <w:r w:rsidRPr="00DA7DEB">
        <w:rPr>
          <w:rFonts w:asciiTheme="minorHAnsi" w:hAnsiTheme="minorHAnsi"/>
          <w:b/>
          <w:sz w:val="24"/>
          <w:szCs w:val="24"/>
        </w:rPr>
        <w:t>press</w:t>
      </w:r>
      <w:proofErr w:type="spellEnd"/>
      <w:r w:rsidRPr="00DA7DE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DA7DEB">
        <w:rPr>
          <w:rFonts w:asciiTheme="minorHAnsi" w:hAnsiTheme="minorHAnsi"/>
          <w:b/>
          <w:sz w:val="24"/>
          <w:szCs w:val="24"/>
        </w:rPr>
        <w:t>kit</w:t>
      </w:r>
      <w:proofErr w:type="spellEnd"/>
      <w:r w:rsidRPr="00DA7DEB">
        <w:rPr>
          <w:rFonts w:asciiTheme="minorHAnsi" w:hAnsiTheme="minorHAnsi"/>
          <w:b/>
          <w:sz w:val="24"/>
          <w:szCs w:val="24"/>
        </w:rPr>
        <w:t>:</w:t>
      </w:r>
    </w:p>
    <w:p w:rsidR="00B6026E" w:rsidRPr="00DA7DEB" w:rsidRDefault="004E308D" w:rsidP="00DA7DEB">
      <w:pPr>
        <w:shd w:val="clear" w:color="auto" w:fill="FFFFFF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hyperlink r:id="rId8" w:history="1">
        <w:r w:rsidR="00B6026E" w:rsidRPr="00DA7DEB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DA7DEB" w:rsidRDefault="00B6026E" w:rsidP="00DA7DEB">
      <w:pPr>
        <w:shd w:val="clear" w:color="auto" w:fill="FFFFFF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B6026E" w:rsidRPr="00DA7DEB" w:rsidRDefault="00B6026E" w:rsidP="00DA7DEB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DA7DEB">
        <w:rPr>
          <w:rFonts w:asciiTheme="minorHAnsi" w:hAnsiTheme="minorHAnsi"/>
          <w:b/>
          <w:sz w:val="24"/>
          <w:szCs w:val="24"/>
        </w:rPr>
        <w:t xml:space="preserve">Galerie koupelen </w:t>
      </w:r>
      <w:proofErr w:type="spellStart"/>
      <w:r w:rsidRPr="00DA7DEB">
        <w:rPr>
          <w:rFonts w:asciiTheme="minorHAnsi" w:hAnsiTheme="minorHAnsi"/>
          <w:b/>
          <w:sz w:val="24"/>
          <w:szCs w:val="24"/>
        </w:rPr>
        <w:t>Laufen</w:t>
      </w:r>
      <w:proofErr w:type="spellEnd"/>
      <w:r w:rsidRPr="00DA7DEB">
        <w:rPr>
          <w:rFonts w:asciiTheme="minorHAnsi" w:hAnsiTheme="minorHAnsi"/>
          <w:sz w:val="24"/>
          <w:szCs w:val="24"/>
        </w:rPr>
        <w:t xml:space="preserve"> </w:t>
      </w:r>
    </w:p>
    <w:p w:rsidR="00D329FE" w:rsidRPr="00DA7DEB" w:rsidRDefault="00B6026E" w:rsidP="00DA7DEB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A7DEB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DA7DEB" w:rsidSect="00C66D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8AD" w:rsidRDefault="003B58AD" w:rsidP="00D329FE">
      <w:pPr>
        <w:spacing w:after="0" w:line="240" w:lineRule="auto"/>
      </w:pPr>
      <w:r>
        <w:separator/>
      </w:r>
    </w:p>
  </w:endnote>
  <w:endnote w:type="continuationSeparator" w:id="0">
    <w:p w:rsidR="003B58AD" w:rsidRDefault="003B58AD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8AD" w:rsidRDefault="003B58AD" w:rsidP="00D329FE">
      <w:pPr>
        <w:spacing w:after="0" w:line="240" w:lineRule="auto"/>
      </w:pPr>
      <w:r>
        <w:separator/>
      </w:r>
    </w:p>
  </w:footnote>
  <w:footnote w:type="continuationSeparator" w:id="0">
    <w:p w:rsidR="003B58AD" w:rsidRDefault="003B58AD" w:rsidP="00D3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FF" w:rsidRPr="006B618E" w:rsidRDefault="00AF7AFF" w:rsidP="00AF7AFF">
    <w:pPr>
      <w:tabs>
        <w:tab w:val="left" w:pos="2535"/>
        <w:tab w:val="left" w:pos="5505"/>
      </w:tabs>
      <w:spacing w:after="0"/>
      <w:jc w:val="both"/>
    </w:pPr>
    <w:r w:rsidRPr="006B618E">
      <w:t>Tisková zpráva</w:t>
    </w:r>
  </w:p>
  <w:p w:rsidR="00AF7AFF" w:rsidRDefault="00AF7A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3C64"/>
    <w:rsid w:val="001369C8"/>
    <w:rsid w:val="00155FF1"/>
    <w:rsid w:val="001626DE"/>
    <w:rsid w:val="001868F9"/>
    <w:rsid w:val="001911D1"/>
    <w:rsid w:val="0019402C"/>
    <w:rsid w:val="001A1931"/>
    <w:rsid w:val="001D2821"/>
    <w:rsid w:val="002A1F7C"/>
    <w:rsid w:val="002A3DAE"/>
    <w:rsid w:val="002C3CE4"/>
    <w:rsid w:val="002C4B6C"/>
    <w:rsid w:val="00307102"/>
    <w:rsid w:val="003869C6"/>
    <w:rsid w:val="003B58AD"/>
    <w:rsid w:val="003C146F"/>
    <w:rsid w:val="003D564B"/>
    <w:rsid w:val="003F7C10"/>
    <w:rsid w:val="00412C21"/>
    <w:rsid w:val="004457C5"/>
    <w:rsid w:val="00490FAB"/>
    <w:rsid w:val="004E308D"/>
    <w:rsid w:val="004E4E43"/>
    <w:rsid w:val="005256E3"/>
    <w:rsid w:val="00586DA0"/>
    <w:rsid w:val="005B212E"/>
    <w:rsid w:val="005F3335"/>
    <w:rsid w:val="0064135E"/>
    <w:rsid w:val="006A1A9F"/>
    <w:rsid w:val="006B6099"/>
    <w:rsid w:val="006B618E"/>
    <w:rsid w:val="006F3473"/>
    <w:rsid w:val="00762BA7"/>
    <w:rsid w:val="00762FA5"/>
    <w:rsid w:val="00776EC0"/>
    <w:rsid w:val="0082341E"/>
    <w:rsid w:val="008A0913"/>
    <w:rsid w:val="008B0667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C1315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D14E17"/>
    <w:rsid w:val="00D329FE"/>
    <w:rsid w:val="00DA7DEB"/>
    <w:rsid w:val="00E17757"/>
    <w:rsid w:val="00E56444"/>
    <w:rsid w:val="00E56E73"/>
    <w:rsid w:val="00E57C94"/>
    <w:rsid w:val="00EE05BF"/>
    <w:rsid w:val="00EE6B24"/>
    <w:rsid w:val="00EF1605"/>
    <w:rsid w:val="00F411CA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kit.jika.e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jana.beckova@ami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1238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2011-05-20T08:24:00Z</dcterms:created>
  <dcterms:modified xsi:type="dcterms:W3CDTF">2011-05-20T08:24:00Z</dcterms:modified>
</cp:coreProperties>
</file>